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QUOTATION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 w:type="textWrapping"/>
      </w:r>
      <w:r>
        <w:rPr>
          <w:rFonts w:asciiTheme="minorHAnsi" w:hAnsiTheme="minorHAnsi" w:cstheme="minorHAnsi"/>
          <w:b/>
          <w:sz w:val="36"/>
          <w:szCs w:val="36"/>
          <w:lang w:val="en-GB"/>
        </w:rPr>
        <w:t>SPECIFICATION OF STANDARD GOODS</w:t>
      </w:r>
    </w:p>
    <w:p>
      <w:pPr>
        <w:tabs>
          <w:tab w:val="left" w:pos="2835"/>
        </w:tabs>
        <w:spacing w:before="240" w:after="240"/>
        <w:ind w:left="2835" w:hanging="2835"/>
        <w:jc w:val="center"/>
        <w:rPr>
          <w:rFonts w:hint="default"/>
          <w:lang w:val="en-US" w:eastAsia="ko-KR"/>
        </w:rPr>
      </w:pPr>
      <w:r>
        <w:rPr>
          <w:b/>
          <w:lang w:val="en-GB"/>
        </w:rPr>
        <w:t>Procurement No:</w:t>
      </w:r>
      <w:r>
        <w:rPr>
          <w:lang w:val="en-GB"/>
        </w:rPr>
        <w:tab/>
      </w:r>
      <w:r>
        <w:rPr>
          <w:rStyle w:val="32"/>
          <w:rFonts w:hint="default" w:asciiTheme="minorHAnsi" w:hAnsiTheme="minorHAnsi" w:cstheme="minorHAnsi"/>
          <w:lang w:val="en-US"/>
        </w:rPr>
        <w:t>22-G001-21</w:t>
      </w:r>
    </w:p>
    <w:p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>
        <w:rPr>
          <w:rFonts w:ascii="Calibri" w:hAnsi="Calibri" w:cs="Calibri"/>
          <w:highlight w:val="yellow"/>
          <w:lang w:val="en-GB"/>
        </w:rPr>
        <w:br w:type="page"/>
      </w:r>
    </w:p>
    <w:p>
      <w:pPr>
        <w:pStyle w:val="3"/>
      </w:pPr>
      <w:bookmarkStart w:id="0" w:name="_Toc419729571"/>
      <w:bookmarkStart w:id="1" w:name="_Toc11156577"/>
      <w:r>
        <w:t>Specification</w:t>
      </w:r>
      <w:bookmarkEnd w:id="0"/>
    </w:p>
    <w:p>
      <w:pPr>
        <w:pStyle w:val="4"/>
        <w:rPr>
          <w:lang w:val="en-GB"/>
        </w:rPr>
      </w:pPr>
      <w:bookmarkStart w:id="2" w:name="_Toc293504682"/>
      <w:bookmarkStart w:id="3" w:name="_Toc419729572"/>
      <w:bookmarkStart w:id="4" w:name="_Toc292659306"/>
      <w:r>
        <w:rPr>
          <w:lang w:val="en-GB"/>
        </w:rPr>
        <w:t>Background</w:t>
      </w:r>
      <w:bookmarkEnd w:id="2"/>
      <w:bookmarkEnd w:id="3"/>
    </w:p>
    <w:p>
      <w:pPr>
        <w:rPr>
          <w:lang w:val="en-GB"/>
        </w:rPr>
      </w:pPr>
      <w:r>
        <w:rPr>
          <w:lang w:val="en-GB"/>
        </w:rPr>
        <w:t xml:space="preserve">Radiology is the medical discipline that uses medical imaging to diagnose diseases within human bodies. These imaging modalities includes Radiography (X-ray), Ultrasound Scan and Computed Tomography (CT) Scan. </w:t>
      </w:r>
    </w:p>
    <w:p>
      <w:pPr>
        <w:rPr>
          <w:lang w:val="en-GB"/>
        </w:rPr>
      </w:pPr>
      <w:r>
        <w:rPr>
          <w:lang w:val="en-GB"/>
        </w:rPr>
        <w:t>Imaging consumables and accessories are vital component for optimal diagnosis, patient care and infection control.</w:t>
      </w:r>
    </w:p>
    <w:p>
      <w:pPr>
        <w:pStyle w:val="4"/>
        <w:rPr>
          <w:rFonts w:cs="Calibri"/>
          <w:lang w:val="en-GB"/>
        </w:rPr>
      </w:pPr>
      <w:bookmarkStart w:id="5" w:name="_Toc312171709"/>
      <w:r>
        <w:rPr>
          <w:rFonts w:cs="Calibri"/>
          <w:lang w:val="en-GB"/>
        </w:rPr>
        <w:t>Requirements</w:t>
      </w:r>
    </w:p>
    <w:p>
      <w:pPr>
        <w:pStyle w:val="81"/>
        <w:numPr>
          <w:ilvl w:val="0"/>
          <w:numId w:val="3"/>
        </w:numPr>
        <w:ind w:leftChars="0"/>
        <w:rPr>
          <w:rFonts w:ascii="Times New Roman" w:hAnsi="Times New Roman"/>
          <w:sz w:val="24"/>
          <w:szCs w:val="24"/>
          <w:lang w:val="en-GB"/>
        </w:rPr>
      </w:pPr>
      <w:bookmarkStart w:id="6" w:name="_Toc308102003"/>
      <w:r>
        <w:rPr>
          <w:rFonts w:ascii="Times New Roman" w:hAnsi="Times New Roman"/>
          <w:sz w:val="24"/>
          <w:szCs w:val="24"/>
          <w:lang w:val="en-GB"/>
        </w:rPr>
        <w:t>The products must comply to the descriptions of the goods on the list</w:t>
      </w:r>
    </w:p>
    <w:p>
      <w:pPr>
        <w:pStyle w:val="81"/>
        <w:numPr>
          <w:ilvl w:val="0"/>
          <w:numId w:val="3"/>
        </w:numPr>
        <w:ind w:leftChars="0"/>
        <w:rPr>
          <w:lang w:val="en-GB"/>
        </w:rPr>
      </w:pPr>
      <w:r>
        <w:rPr>
          <w:rFonts w:ascii="Times New Roman" w:hAnsi="Times New Roman"/>
          <w:sz w:val="24"/>
          <w:szCs w:val="24"/>
          <w:lang w:val="en-GB"/>
        </w:rPr>
        <w:t>If the specified product on the list is unavailable, the supplier is obliged to offer an identical product with label and description.</w:t>
      </w:r>
    </w:p>
    <w:bookmarkEnd w:id="6"/>
    <w:p>
      <w:pPr>
        <w:pStyle w:val="4"/>
        <w:rPr>
          <w:rFonts w:cs="Calibri"/>
          <w:lang w:val="en-GB"/>
        </w:rPr>
      </w:pPr>
      <w:bookmarkStart w:id="7" w:name="_Toc419729577"/>
      <w:r>
        <w:rPr>
          <w:rFonts w:cs="Calibri"/>
          <w:lang w:val="en-GB"/>
        </w:rPr>
        <w:t>Installation services</w:t>
      </w:r>
      <w:bookmarkEnd w:id="7"/>
    </w:p>
    <w:p>
      <w:pPr>
        <w:rPr>
          <w:lang w:val="en-GB"/>
        </w:rPr>
      </w:pPr>
      <w:r>
        <w:rPr>
          <w:lang w:val="en-GB"/>
        </w:rPr>
        <w:t>None</w:t>
      </w:r>
    </w:p>
    <w:p>
      <w:pPr>
        <w:pStyle w:val="4"/>
        <w:rPr>
          <w:lang w:val="en-GB"/>
        </w:rPr>
      </w:pPr>
      <w:bookmarkStart w:id="8" w:name="_Toc419729578"/>
      <w:r>
        <w:rPr>
          <w:lang w:val="en-GB"/>
        </w:rPr>
        <w:t>Delivery Time</w:t>
      </w:r>
      <w:bookmarkEnd w:id="8"/>
    </w:p>
    <w:p>
      <w:pPr>
        <w:rPr>
          <w:lang w:val="en-GB"/>
        </w:rPr>
      </w:pPr>
      <w:r>
        <w:rPr>
          <w:lang w:val="en-GB"/>
        </w:rPr>
        <w:t>12-18 weeks (after Contract start date) by CIF Sea Freight to Kiribati</w:t>
      </w:r>
    </w:p>
    <w:bookmarkEnd w:id="4"/>
    <w:bookmarkEnd w:id="5"/>
    <w:p>
      <w:pPr>
        <w:pStyle w:val="3"/>
      </w:pPr>
      <w:r>
        <w:t>Description of the Goods</w:t>
      </w:r>
      <w:bookmarkEnd w:id="1"/>
    </w:p>
    <w:p>
      <w:pPr>
        <w:rPr>
          <w:i/>
          <w:iCs/>
          <w:lang w:val="en-GB"/>
        </w:rPr>
      </w:pPr>
      <w:r>
        <w:rPr>
          <w:i/>
          <w:iCs/>
          <w:lang w:val="en-GB"/>
        </w:rPr>
        <w:t>Here, list all items to be Tendered</w:t>
      </w:r>
    </w:p>
    <w:p>
      <w:pPr>
        <w:rPr>
          <w:i/>
          <w:iCs/>
          <w:lang w:val="en-GB"/>
        </w:rPr>
      </w:pPr>
      <w:r>
        <w:rPr>
          <w:i/>
          <w:iCs/>
          <w:lang w:val="en-GB"/>
        </w:rPr>
        <w:t>(This part may be replaced by a proprietary Supplier description)</w:t>
      </w:r>
    </w:p>
    <w:p>
      <w:pPr>
        <w:rPr>
          <w:lang w:val="en-GB"/>
        </w:rPr>
      </w:pPr>
    </w:p>
    <w:tbl>
      <w:tblPr>
        <w:tblStyle w:val="86"/>
        <w:tblW w:w="0" w:type="auto"/>
        <w:tblInd w:w="0" w:type="dxa"/>
        <w:tblBorders>
          <w:top w:val="single" w:color="999999" w:themeColor="text1" w:themeTint="66" w:sz="4" w:space="0"/>
          <w:left w:val="single" w:color="999999" w:themeColor="text1" w:themeTint="66" w:sz="4" w:space="0"/>
          <w:bottom w:val="single" w:color="999999" w:themeColor="text1" w:themeTint="66" w:sz="4" w:space="0"/>
          <w:right w:val="single" w:color="999999" w:themeColor="text1" w:themeTint="66" w:sz="4" w:space="0"/>
          <w:insideH w:val="single" w:color="999999" w:themeColor="text1" w:themeTint="66" w:sz="4" w:space="0"/>
          <w:insideV w:val="single" w:color="999999" w:themeColor="text1" w:themeTint="66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7"/>
        <w:gridCol w:w="3621"/>
        <w:gridCol w:w="1669"/>
        <w:gridCol w:w="1137"/>
        <w:gridCol w:w="1381"/>
        <w:gridCol w:w="1374"/>
      </w:tblGrid>
      <w:tr>
        <w:tblPrEx>
          <w:tblBorders>
            <w:top w:val="single" w:color="999999" w:themeColor="text1" w:themeTint="66" w:sz="4" w:space="0"/>
            <w:left w:val="single" w:color="999999" w:themeColor="text1" w:themeTint="66" w:sz="4" w:space="0"/>
            <w:bottom w:val="single" w:color="999999" w:themeColor="text1" w:themeTint="66" w:sz="4" w:space="0"/>
            <w:right w:val="single" w:color="999999" w:themeColor="text1" w:themeTint="66" w:sz="4" w:space="0"/>
            <w:insideH w:val="single" w:color="999999" w:themeColor="text1" w:themeTint="66" w:sz="4" w:space="0"/>
            <w:insideV w:val="single" w:color="999999" w:themeColor="text1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  <w:tcBorders>
              <w:bottom w:val="single" w:color="666666" w:themeColor="text1" w:themeTint="99" w:sz="12" w:space="0"/>
              <w:insideH w:val="single" w:sz="12" w:space="0"/>
            </w:tcBorders>
          </w:tcPr>
          <w:p>
            <w:pPr>
              <w:rPr>
                <w:b w:val="0"/>
                <w:bCs w:val="0"/>
                <w:lang w:val="en-GB"/>
              </w:rPr>
            </w:pPr>
            <w:r>
              <w:rPr>
                <w:b/>
                <w:bCs/>
                <w:lang w:val="en-GB"/>
              </w:rPr>
              <w:t>Pos.</w:t>
            </w:r>
          </w:p>
        </w:tc>
        <w:tc>
          <w:tcPr>
            <w:tcW w:w="3995" w:type="dxa"/>
            <w:tcBorders>
              <w:bottom w:val="single" w:color="666666" w:themeColor="text1" w:themeTint="99" w:sz="12" w:space="0"/>
              <w:insideH w:val="single" w:sz="12" w:space="0"/>
            </w:tcBorders>
          </w:tcPr>
          <w:p>
            <w:pPr>
              <w:rPr>
                <w:b w:val="0"/>
                <w:bCs w:val="0"/>
                <w:lang w:val="en-GB"/>
              </w:rPr>
            </w:pPr>
            <w:r>
              <w:rPr>
                <w:b/>
                <w:bCs/>
                <w:lang w:val="en-GB"/>
              </w:rPr>
              <w:t>Description</w:t>
            </w:r>
          </w:p>
        </w:tc>
        <w:tc>
          <w:tcPr>
            <w:tcW w:w="936" w:type="dxa"/>
            <w:tcBorders>
              <w:bottom w:val="single" w:color="666666" w:themeColor="text1" w:themeTint="99" w:sz="12" w:space="0"/>
              <w:insideH w:val="single" w:sz="12" w:space="0"/>
            </w:tcBorders>
          </w:tcPr>
          <w:p>
            <w:pPr>
              <w:rPr>
                <w:b w:val="0"/>
                <w:bCs w:val="0"/>
                <w:lang w:val="en-GB"/>
              </w:rPr>
            </w:pPr>
            <w:r>
              <w:rPr>
                <w:b/>
                <w:bCs/>
                <w:lang w:val="en-GB"/>
              </w:rPr>
              <w:t>Manufacturer</w:t>
            </w:r>
          </w:p>
        </w:tc>
        <w:tc>
          <w:tcPr>
            <w:tcW w:w="1137" w:type="dxa"/>
            <w:tcBorders>
              <w:bottom w:val="single" w:color="666666" w:themeColor="text1" w:themeTint="99" w:sz="12" w:space="0"/>
              <w:insideH w:val="single" w:sz="12" w:space="0"/>
            </w:tcBorders>
          </w:tcPr>
          <w:p>
            <w:pPr>
              <w:rPr>
                <w:b w:val="0"/>
                <w:bCs w:val="0"/>
                <w:lang w:val="en-GB"/>
              </w:rPr>
            </w:pPr>
            <w:r>
              <w:rPr>
                <w:b/>
                <w:bCs/>
                <w:lang w:val="en-GB"/>
              </w:rPr>
              <w:t>Quantity</w:t>
            </w:r>
          </w:p>
        </w:tc>
        <w:tc>
          <w:tcPr>
            <w:tcW w:w="1498" w:type="dxa"/>
            <w:tcBorders>
              <w:bottom w:val="single" w:color="666666" w:themeColor="text1" w:themeTint="99" w:sz="12" w:space="0"/>
              <w:insideH w:val="single" w:sz="12" w:space="0"/>
            </w:tcBorders>
          </w:tcPr>
          <w:p>
            <w:pPr>
              <w:rPr>
                <w:b w:val="0"/>
                <w:bCs w:val="0"/>
                <w:lang w:val="en-GB"/>
              </w:rPr>
            </w:pPr>
            <w:r>
              <w:rPr>
                <w:b/>
                <w:bCs/>
                <w:lang w:val="en-GB"/>
              </w:rPr>
              <w:t>Shelf life</w:t>
            </w:r>
          </w:p>
        </w:tc>
        <w:tc>
          <w:tcPr>
            <w:tcW w:w="1390" w:type="dxa"/>
            <w:tcBorders>
              <w:bottom w:val="single" w:color="666666" w:themeColor="text1" w:themeTint="99" w:sz="12" w:space="0"/>
              <w:insideH w:val="single" w:sz="12" w:space="0"/>
            </w:tcBorders>
          </w:tcPr>
          <w:p>
            <w:pPr>
              <w:rPr>
                <w:b w:val="0"/>
                <w:bCs w:val="0"/>
                <w:lang w:val="en-GB"/>
              </w:rPr>
            </w:pPr>
            <w:r>
              <w:rPr>
                <w:b/>
                <w:bCs/>
                <w:lang w:val="en-GB"/>
              </w:rPr>
              <w:t>Price (to be Tendered)</w:t>
            </w:r>
            <w:bookmarkStart w:id="9" w:name="_GoBack"/>
            <w:bookmarkEnd w:id="9"/>
          </w:p>
        </w:tc>
      </w:tr>
      <w:tr>
        <w:tblPrEx>
          <w:tblBorders>
            <w:top w:val="single" w:color="999999" w:themeColor="text1" w:themeTint="66" w:sz="4" w:space="0"/>
            <w:left w:val="single" w:color="999999" w:themeColor="text1" w:themeTint="66" w:sz="4" w:space="0"/>
            <w:bottom w:val="single" w:color="999999" w:themeColor="text1" w:themeTint="66" w:sz="4" w:space="0"/>
            <w:right w:val="single" w:color="999999" w:themeColor="text1" w:themeTint="66" w:sz="4" w:space="0"/>
            <w:insideH w:val="single" w:color="999999" w:themeColor="text1" w:themeTint="66" w:sz="4" w:space="0"/>
            <w:insideV w:val="single" w:color="999999" w:themeColor="text1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</w:tcPr>
          <w:p>
            <w:pPr>
              <w:rPr>
                <w:b/>
                <w:bCs/>
                <w:lang w:val="en-GB"/>
              </w:rPr>
            </w:pPr>
            <w:r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3995" w:type="dxa"/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Aquasonic 100 Ultrasound Transmission Gel 5L - A coupling medium used for ultrasound scan</w:t>
            </w:r>
          </w:p>
        </w:tc>
        <w:tc>
          <w:tcPr>
            <w:tcW w:w="936" w:type="dxa"/>
          </w:tcPr>
          <w:p>
            <w:pPr>
              <w:rPr>
                <w:lang w:val="en-GB"/>
              </w:rPr>
            </w:pPr>
          </w:p>
        </w:tc>
        <w:tc>
          <w:tcPr>
            <w:tcW w:w="1137" w:type="dxa"/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80 Pails</w:t>
            </w:r>
          </w:p>
        </w:tc>
        <w:tc>
          <w:tcPr>
            <w:tcW w:w="1498" w:type="dxa"/>
          </w:tcPr>
          <w:p>
            <w:pPr>
              <w:rPr>
                <w:lang w:val="en-GB"/>
              </w:rPr>
            </w:pPr>
          </w:p>
        </w:tc>
        <w:tc>
          <w:tcPr>
            <w:tcW w:w="1390" w:type="dxa"/>
          </w:tcPr>
          <w:p>
            <w:pPr>
              <w:rPr>
                <w:lang w:val="en-GB"/>
              </w:rPr>
            </w:pPr>
          </w:p>
        </w:tc>
      </w:tr>
      <w:tr>
        <w:tblPrEx>
          <w:tblBorders>
            <w:top w:val="single" w:color="999999" w:themeColor="text1" w:themeTint="66" w:sz="4" w:space="0"/>
            <w:left w:val="single" w:color="999999" w:themeColor="text1" w:themeTint="66" w:sz="4" w:space="0"/>
            <w:bottom w:val="single" w:color="999999" w:themeColor="text1" w:themeTint="66" w:sz="4" w:space="0"/>
            <w:right w:val="single" w:color="999999" w:themeColor="text1" w:themeTint="66" w:sz="4" w:space="0"/>
            <w:insideH w:val="single" w:color="999999" w:themeColor="text1" w:themeTint="66" w:sz="4" w:space="0"/>
            <w:insideV w:val="single" w:color="999999" w:themeColor="text1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</w:tcPr>
          <w:p>
            <w:pPr>
              <w:rPr>
                <w:b/>
                <w:bCs w:val="0"/>
                <w:lang w:val="en-GB"/>
              </w:rPr>
            </w:pPr>
            <w:r>
              <w:rPr>
                <w:b w:val="0"/>
                <w:bCs/>
                <w:lang w:val="en-GB"/>
              </w:rPr>
              <w:t>2</w:t>
            </w:r>
          </w:p>
        </w:tc>
        <w:tc>
          <w:tcPr>
            <w:tcW w:w="3995" w:type="dxa"/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Aquasonic 100 Ultrasound Transmission Gel (sterile) – A coupling medium used for ultrasound scan</w:t>
            </w:r>
          </w:p>
        </w:tc>
        <w:tc>
          <w:tcPr>
            <w:tcW w:w="936" w:type="dxa"/>
          </w:tcPr>
          <w:p>
            <w:pPr>
              <w:rPr>
                <w:lang w:val="en-GB"/>
              </w:rPr>
            </w:pPr>
          </w:p>
        </w:tc>
        <w:tc>
          <w:tcPr>
            <w:tcW w:w="1137" w:type="dxa"/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500 pkts</w:t>
            </w:r>
          </w:p>
        </w:tc>
        <w:tc>
          <w:tcPr>
            <w:tcW w:w="1498" w:type="dxa"/>
          </w:tcPr>
          <w:p>
            <w:pPr>
              <w:rPr>
                <w:lang w:val="en-GB"/>
              </w:rPr>
            </w:pPr>
          </w:p>
        </w:tc>
        <w:tc>
          <w:tcPr>
            <w:tcW w:w="1390" w:type="dxa"/>
          </w:tcPr>
          <w:p>
            <w:pPr>
              <w:rPr>
                <w:lang w:val="en-GB"/>
              </w:rPr>
            </w:pPr>
          </w:p>
        </w:tc>
      </w:tr>
      <w:tr>
        <w:tblPrEx>
          <w:tblBorders>
            <w:top w:val="single" w:color="999999" w:themeColor="text1" w:themeTint="66" w:sz="4" w:space="0"/>
            <w:left w:val="single" w:color="999999" w:themeColor="text1" w:themeTint="66" w:sz="4" w:space="0"/>
            <w:bottom w:val="single" w:color="999999" w:themeColor="text1" w:themeTint="66" w:sz="4" w:space="0"/>
            <w:right w:val="single" w:color="999999" w:themeColor="text1" w:themeTint="66" w:sz="4" w:space="0"/>
            <w:insideH w:val="single" w:color="999999" w:themeColor="text1" w:themeTint="66" w:sz="4" w:space="0"/>
            <w:insideV w:val="single" w:color="999999" w:themeColor="text1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</w:tcPr>
          <w:p>
            <w:pPr>
              <w:rPr>
                <w:b/>
                <w:bCs/>
                <w:lang w:val="en-GB"/>
              </w:rPr>
            </w:pPr>
            <w:r>
              <w:rPr>
                <w:b w:val="0"/>
                <w:bCs w:val="0"/>
                <w:lang w:val="en-GB"/>
              </w:rPr>
              <w:t>3</w:t>
            </w:r>
          </w:p>
        </w:tc>
        <w:tc>
          <w:tcPr>
            <w:tcW w:w="3995" w:type="dxa"/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Sony UPP 110 HD Original 110 x 20 - A thermo printing paper for Ultrasound scan images.</w:t>
            </w:r>
          </w:p>
        </w:tc>
        <w:tc>
          <w:tcPr>
            <w:tcW w:w="936" w:type="dxa"/>
          </w:tcPr>
          <w:p>
            <w:pPr>
              <w:rPr>
                <w:lang w:val="en-GB"/>
              </w:rPr>
            </w:pPr>
          </w:p>
        </w:tc>
        <w:tc>
          <w:tcPr>
            <w:tcW w:w="1137" w:type="dxa"/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100 rolls</w:t>
            </w:r>
          </w:p>
        </w:tc>
        <w:tc>
          <w:tcPr>
            <w:tcW w:w="1498" w:type="dxa"/>
          </w:tcPr>
          <w:p>
            <w:pPr>
              <w:rPr>
                <w:lang w:val="en-GB"/>
              </w:rPr>
            </w:pPr>
          </w:p>
        </w:tc>
        <w:tc>
          <w:tcPr>
            <w:tcW w:w="1390" w:type="dxa"/>
          </w:tcPr>
          <w:p>
            <w:pPr>
              <w:rPr>
                <w:lang w:val="en-GB"/>
              </w:rPr>
            </w:pPr>
          </w:p>
        </w:tc>
      </w:tr>
      <w:tr>
        <w:tblPrEx>
          <w:tblBorders>
            <w:top w:val="single" w:color="999999" w:themeColor="text1" w:themeTint="66" w:sz="4" w:space="0"/>
            <w:left w:val="single" w:color="999999" w:themeColor="text1" w:themeTint="66" w:sz="4" w:space="0"/>
            <w:bottom w:val="single" w:color="999999" w:themeColor="text1" w:themeTint="66" w:sz="4" w:space="0"/>
            <w:right w:val="single" w:color="999999" w:themeColor="text1" w:themeTint="66" w:sz="4" w:space="0"/>
            <w:insideH w:val="single" w:color="999999" w:themeColor="text1" w:themeTint="66" w:sz="4" w:space="0"/>
            <w:insideV w:val="single" w:color="999999" w:themeColor="text1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</w:tcPr>
          <w:p>
            <w:pPr>
              <w:rPr>
                <w:b/>
                <w:bCs/>
                <w:lang w:val="en-GB"/>
              </w:rPr>
            </w:pPr>
            <w:r>
              <w:rPr>
                <w:b w:val="0"/>
                <w:bCs w:val="0"/>
                <w:lang w:val="en-GB"/>
              </w:rPr>
              <w:t>4</w:t>
            </w:r>
          </w:p>
        </w:tc>
        <w:tc>
          <w:tcPr>
            <w:tcW w:w="3995" w:type="dxa"/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Sono Healthcare 50 Count Ultrasound Wipes (12/Case) – For infection control</w:t>
            </w:r>
          </w:p>
        </w:tc>
        <w:tc>
          <w:tcPr>
            <w:tcW w:w="936" w:type="dxa"/>
          </w:tcPr>
          <w:p>
            <w:pPr>
              <w:rPr>
                <w:lang w:val="en-GB"/>
              </w:rPr>
            </w:pPr>
          </w:p>
        </w:tc>
        <w:tc>
          <w:tcPr>
            <w:tcW w:w="1137" w:type="dxa"/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12 Cases</w:t>
            </w:r>
          </w:p>
        </w:tc>
        <w:tc>
          <w:tcPr>
            <w:tcW w:w="1498" w:type="dxa"/>
          </w:tcPr>
          <w:p>
            <w:pPr>
              <w:rPr>
                <w:lang w:val="en-GB"/>
              </w:rPr>
            </w:pPr>
          </w:p>
        </w:tc>
        <w:tc>
          <w:tcPr>
            <w:tcW w:w="1390" w:type="dxa"/>
          </w:tcPr>
          <w:p>
            <w:pPr>
              <w:rPr>
                <w:lang w:val="en-GB"/>
              </w:rPr>
            </w:pPr>
          </w:p>
          <w:p>
            <w:pPr>
              <w:rPr>
                <w:lang w:val="en-GB"/>
              </w:rPr>
            </w:pPr>
          </w:p>
        </w:tc>
      </w:tr>
      <w:tr>
        <w:tblPrEx>
          <w:tblBorders>
            <w:top w:val="single" w:color="999999" w:themeColor="text1" w:themeTint="66" w:sz="4" w:space="0"/>
            <w:left w:val="single" w:color="999999" w:themeColor="text1" w:themeTint="66" w:sz="4" w:space="0"/>
            <w:bottom w:val="single" w:color="999999" w:themeColor="text1" w:themeTint="66" w:sz="4" w:space="0"/>
            <w:right w:val="single" w:color="999999" w:themeColor="text1" w:themeTint="66" w:sz="4" w:space="0"/>
            <w:insideH w:val="single" w:color="999999" w:themeColor="text1" w:themeTint="66" w:sz="4" w:space="0"/>
            <w:insideV w:val="single" w:color="999999" w:themeColor="text1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</w:tcPr>
          <w:p>
            <w:pPr>
              <w:rPr>
                <w:b/>
                <w:bCs/>
                <w:lang w:val="en-GB"/>
              </w:rPr>
            </w:pPr>
            <w:r>
              <w:rPr>
                <w:b w:val="0"/>
                <w:bCs w:val="0"/>
                <w:lang w:val="en-GB"/>
              </w:rPr>
              <w:t>5</w:t>
            </w:r>
          </w:p>
        </w:tc>
        <w:tc>
          <w:tcPr>
            <w:tcW w:w="3995" w:type="dxa"/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X-Opaque HD Barium Meal 300G  – A Contrast Medium (dye) for x-raying Upper Digestive System</w:t>
            </w:r>
          </w:p>
        </w:tc>
        <w:tc>
          <w:tcPr>
            <w:tcW w:w="936" w:type="dxa"/>
          </w:tcPr>
          <w:p>
            <w:pPr>
              <w:rPr>
                <w:lang w:val="en-GB"/>
              </w:rPr>
            </w:pPr>
          </w:p>
        </w:tc>
        <w:tc>
          <w:tcPr>
            <w:tcW w:w="1137" w:type="dxa"/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60 Jars</w:t>
            </w:r>
          </w:p>
        </w:tc>
        <w:tc>
          <w:tcPr>
            <w:tcW w:w="1498" w:type="dxa"/>
          </w:tcPr>
          <w:p>
            <w:pPr>
              <w:rPr>
                <w:lang w:val="en-GB"/>
              </w:rPr>
            </w:pPr>
          </w:p>
        </w:tc>
        <w:tc>
          <w:tcPr>
            <w:tcW w:w="1390" w:type="dxa"/>
          </w:tcPr>
          <w:p>
            <w:pPr>
              <w:rPr>
                <w:lang w:val="en-GB"/>
              </w:rPr>
            </w:pPr>
          </w:p>
        </w:tc>
      </w:tr>
      <w:tr>
        <w:tblPrEx>
          <w:tblBorders>
            <w:top w:val="single" w:color="999999" w:themeColor="text1" w:themeTint="66" w:sz="4" w:space="0"/>
            <w:left w:val="single" w:color="999999" w:themeColor="text1" w:themeTint="66" w:sz="4" w:space="0"/>
            <w:bottom w:val="single" w:color="999999" w:themeColor="text1" w:themeTint="66" w:sz="4" w:space="0"/>
            <w:right w:val="single" w:color="999999" w:themeColor="text1" w:themeTint="66" w:sz="4" w:space="0"/>
            <w:insideH w:val="single" w:color="999999" w:themeColor="text1" w:themeTint="66" w:sz="4" w:space="0"/>
            <w:insideV w:val="single" w:color="999999" w:themeColor="text1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</w:tcPr>
          <w:p>
            <w:pPr>
              <w:rPr>
                <w:b/>
                <w:bCs/>
                <w:lang w:val="en-GB"/>
              </w:rPr>
            </w:pPr>
            <w:r>
              <w:rPr>
                <w:b w:val="0"/>
                <w:bCs w:val="0"/>
                <w:lang w:val="en-GB"/>
              </w:rPr>
              <w:t>6</w:t>
            </w:r>
          </w:p>
        </w:tc>
        <w:tc>
          <w:tcPr>
            <w:tcW w:w="3995" w:type="dxa"/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Liquibar Pre-Filled Enema Bag 500ml – A Contrast Medium (dye) for x-raying Lower Digestive System</w:t>
            </w:r>
          </w:p>
        </w:tc>
        <w:tc>
          <w:tcPr>
            <w:tcW w:w="936" w:type="dxa"/>
          </w:tcPr>
          <w:p>
            <w:pPr>
              <w:rPr>
                <w:lang w:val="en-GB"/>
              </w:rPr>
            </w:pPr>
          </w:p>
        </w:tc>
        <w:tc>
          <w:tcPr>
            <w:tcW w:w="1137" w:type="dxa"/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48 bags</w:t>
            </w:r>
          </w:p>
        </w:tc>
        <w:tc>
          <w:tcPr>
            <w:tcW w:w="1498" w:type="dxa"/>
          </w:tcPr>
          <w:p>
            <w:pPr>
              <w:rPr>
                <w:lang w:val="en-GB"/>
              </w:rPr>
            </w:pPr>
          </w:p>
        </w:tc>
        <w:tc>
          <w:tcPr>
            <w:tcW w:w="1390" w:type="dxa"/>
          </w:tcPr>
          <w:p>
            <w:pPr>
              <w:rPr>
                <w:lang w:val="en-GB"/>
              </w:rPr>
            </w:pPr>
          </w:p>
        </w:tc>
      </w:tr>
      <w:tr>
        <w:tblPrEx>
          <w:tblBorders>
            <w:top w:val="single" w:color="999999" w:themeColor="text1" w:themeTint="66" w:sz="4" w:space="0"/>
            <w:left w:val="single" w:color="999999" w:themeColor="text1" w:themeTint="66" w:sz="4" w:space="0"/>
            <w:bottom w:val="single" w:color="999999" w:themeColor="text1" w:themeTint="66" w:sz="4" w:space="0"/>
            <w:right w:val="single" w:color="999999" w:themeColor="text1" w:themeTint="66" w:sz="4" w:space="0"/>
            <w:insideH w:val="single" w:color="999999" w:themeColor="text1" w:themeTint="66" w:sz="4" w:space="0"/>
            <w:insideV w:val="single" w:color="999999" w:themeColor="text1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</w:tcPr>
          <w:p>
            <w:pPr>
              <w:rPr>
                <w:b/>
                <w:bCs/>
                <w:lang w:val="en-GB"/>
              </w:rPr>
            </w:pPr>
            <w:r>
              <w:rPr>
                <w:b w:val="0"/>
                <w:bCs w:val="0"/>
                <w:lang w:val="en-GB"/>
              </w:rPr>
              <w:t>7</w:t>
            </w:r>
          </w:p>
        </w:tc>
        <w:tc>
          <w:tcPr>
            <w:tcW w:w="3995" w:type="dxa"/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Omnipaque 300mg/ml 100 ml GE Healthcare- A Contrast Medium (dye) for x-raying hollow organs and blood vessels.</w:t>
            </w:r>
          </w:p>
        </w:tc>
        <w:tc>
          <w:tcPr>
            <w:tcW w:w="936" w:type="dxa"/>
          </w:tcPr>
          <w:p>
            <w:pPr>
              <w:rPr>
                <w:lang w:val="en-GB"/>
              </w:rPr>
            </w:pPr>
          </w:p>
        </w:tc>
        <w:tc>
          <w:tcPr>
            <w:tcW w:w="1137" w:type="dxa"/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720 Vials</w:t>
            </w:r>
          </w:p>
        </w:tc>
        <w:tc>
          <w:tcPr>
            <w:tcW w:w="1498" w:type="dxa"/>
          </w:tcPr>
          <w:p>
            <w:pPr>
              <w:rPr>
                <w:lang w:val="en-GB"/>
              </w:rPr>
            </w:pPr>
          </w:p>
        </w:tc>
        <w:tc>
          <w:tcPr>
            <w:tcW w:w="1390" w:type="dxa"/>
          </w:tcPr>
          <w:p>
            <w:pPr>
              <w:rPr>
                <w:lang w:val="en-GB"/>
              </w:rPr>
            </w:pPr>
          </w:p>
        </w:tc>
      </w:tr>
      <w:tr>
        <w:tblPrEx>
          <w:tblBorders>
            <w:top w:val="single" w:color="999999" w:themeColor="text1" w:themeTint="66" w:sz="4" w:space="0"/>
            <w:left w:val="single" w:color="999999" w:themeColor="text1" w:themeTint="66" w:sz="4" w:space="0"/>
            <w:bottom w:val="single" w:color="999999" w:themeColor="text1" w:themeTint="66" w:sz="4" w:space="0"/>
            <w:right w:val="single" w:color="999999" w:themeColor="text1" w:themeTint="66" w:sz="4" w:space="0"/>
            <w:insideH w:val="single" w:color="999999" w:themeColor="text1" w:themeTint="66" w:sz="4" w:space="0"/>
            <w:insideV w:val="single" w:color="999999" w:themeColor="text1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</w:tcPr>
          <w:p>
            <w:pPr>
              <w:rPr>
                <w:b/>
                <w:bCs/>
                <w:lang w:val="en-GB"/>
              </w:rPr>
            </w:pPr>
            <w:r>
              <w:rPr>
                <w:b w:val="0"/>
                <w:bCs w:val="0"/>
                <w:lang w:val="en-GB"/>
              </w:rPr>
              <w:t>8</w:t>
            </w:r>
          </w:p>
        </w:tc>
        <w:tc>
          <w:tcPr>
            <w:tcW w:w="3995" w:type="dxa"/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X-ray Large Coated Positioning Sets - 8 pieces of large coated sponges for positioning support</w:t>
            </w:r>
          </w:p>
        </w:tc>
        <w:tc>
          <w:tcPr>
            <w:tcW w:w="936" w:type="dxa"/>
          </w:tcPr>
          <w:p>
            <w:pPr>
              <w:rPr>
                <w:lang w:val="en-GB"/>
              </w:rPr>
            </w:pPr>
          </w:p>
        </w:tc>
        <w:tc>
          <w:tcPr>
            <w:tcW w:w="1137" w:type="dxa"/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4 sets</w:t>
            </w:r>
          </w:p>
        </w:tc>
        <w:tc>
          <w:tcPr>
            <w:tcW w:w="1498" w:type="dxa"/>
          </w:tcPr>
          <w:p>
            <w:pPr>
              <w:rPr>
                <w:lang w:val="en-GB"/>
              </w:rPr>
            </w:pPr>
          </w:p>
        </w:tc>
        <w:tc>
          <w:tcPr>
            <w:tcW w:w="1390" w:type="dxa"/>
          </w:tcPr>
          <w:p>
            <w:pPr>
              <w:rPr>
                <w:lang w:val="en-GB"/>
              </w:rPr>
            </w:pPr>
          </w:p>
        </w:tc>
      </w:tr>
      <w:tr>
        <w:tblPrEx>
          <w:tblBorders>
            <w:top w:val="single" w:color="999999" w:themeColor="text1" w:themeTint="66" w:sz="4" w:space="0"/>
            <w:left w:val="single" w:color="999999" w:themeColor="text1" w:themeTint="66" w:sz="4" w:space="0"/>
            <w:bottom w:val="single" w:color="999999" w:themeColor="text1" w:themeTint="66" w:sz="4" w:space="0"/>
            <w:right w:val="single" w:color="999999" w:themeColor="text1" w:themeTint="66" w:sz="4" w:space="0"/>
            <w:insideH w:val="single" w:color="999999" w:themeColor="text1" w:themeTint="66" w:sz="4" w:space="0"/>
            <w:insideV w:val="single" w:color="999999" w:themeColor="text1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</w:tcPr>
          <w:p>
            <w:pPr>
              <w:rPr>
                <w:b/>
                <w:bCs/>
                <w:lang w:val="en-GB"/>
              </w:rPr>
            </w:pPr>
            <w:r>
              <w:rPr>
                <w:b w:val="0"/>
                <w:bCs w:val="0"/>
                <w:lang w:val="en-GB"/>
              </w:rPr>
              <w:t>9</w:t>
            </w:r>
          </w:p>
        </w:tc>
        <w:tc>
          <w:tcPr>
            <w:tcW w:w="3995" w:type="dxa"/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Comfortwear Apron: X-ray Lightweight Lead Aprons Size: M /0.50 Pb - For radiation protection</w:t>
            </w:r>
          </w:p>
        </w:tc>
        <w:tc>
          <w:tcPr>
            <w:tcW w:w="936" w:type="dxa"/>
          </w:tcPr>
          <w:p>
            <w:pPr>
              <w:rPr>
                <w:lang w:val="en-GB"/>
              </w:rPr>
            </w:pPr>
          </w:p>
        </w:tc>
        <w:tc>
          <w:tcPr>
            <w:tcW w:w="1137" w:type="dxa"/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3 sets</w:t>
            </w:r>
          </w:p>
        </w:tc>
        <w:tc>
          <w:tcPr>
            <w:tcW w:w="1498" w:type="dxa"/>
          </w:tcPr>
          <w:p>
            <w:pPr>
              <w:rPr>
                <w:lang w:val="en-GB"/>
              </w:rPr>
            </w:pPr>
          </w:p>
        </w:tc>
        <w:tc>
          <w:tcPr>
            <w:tcW w:w="1390" w:type="dxa"/>
          </w:tcPr>
          <w:p>
            <w:pPr>
              <w:rPr>
                <w:lang w:val="en-GB"/>
              </w:rPr>
            </w:pPr>
          </w:p>
        </w:tc>
      </w:tr>
      <w:tr>
        <w:tblPrEx>
          <w:tblBorders>
            <w:top w:val="single" w:color="999999" w:themeColor="text1" w:themeTint="66" w:sz="4" w:space="0"/>
            <w:left w:val="single" w:color="999999" w:themeColor="text1" w:themeTint="66" w:sz="4" w:space="0"/>
            <w:bottom w:val="single" w:color="999999" w:themeColor="text1" w:themeTint="66" w:sz="4" w:space="0"/>
            <w:right w:val="single" w:color="999999" w:themeColor="text1" w:themeTint="66" w:sz="4" w:space="0"/>
            <w:insideH w:val="single" w:color="999999" w:themeColor="text1" w:themeTint="66" w:sz="4" w:space="0"/>
            <w:insideV w:val="single" w:color="999999" w:themeColor="text1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</w:tcPr>
          <w:p>
            <w:pPr>
              <w:rPr>
                <w:b/>
                <w:bCs/>
                <w:lang w:val="en-GB"/>
              </w:rPr>
            </w:pPr>
            <w:r>
              <w:rPr>
                <w:b w:val="0"/>
                <w:bCs w:val="0"/>
                <w:lang w:val="en-GB"/>
              </w:rPr>
              <w:t>10</w:t>
            </w:r>
          </w:p>
        </w:tc>
        <w:tc>
          <w:tcPr>
            <w:tcW w:w="3995" w:type="dxa"/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Mobile Multiple Lead Apron Hanger - Storage Hanger for Radiation Lead Apron</w:t>
            </w:r>
          </w:p>
        </w:tc>
        <w:tc>
          <w:tcPr>
            <w:tcW w:w="936" w:type="dxa"/>
          </w:tcPr>
          <w:p>
            <w:pPr>
              <w:rPr>
                <w:lang w:val="en-GB"/>
              </w:rPr>
            </w:pPr>
          </w:p>
        </w:tc>
        <w:tc>
          <w:tcPr>
            <w:tcW w:w="1137" w:type="dxa"/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1 piece</w:t>
            </w:r>
          </w:p>
        </w:tc>
        <w:tc>
          <w:tcPr>
            <w:tcW w:w="1498" w:type="dxa"/>
          </w:tcPr>
          <w:p>
            <w:pPr>
              <w:rPr>
                <w:lang w:val="en-GB"/>
              </w:rPr>
            </w:pPr>
          </w:p>
        </w:tc>
        <w:tc>
          <w:tcPr>
            <w:tcW w:w="1390" w:type="dxa"/>
          </w:tcPr>
          <w:p>
            <w:pPr>
              <w:rPr>
                <w:lang w:val="en-GB"/>
              </w:rPr>
            </w:pPr>
          </w:p>
        </w:tc>
      </w:tr>
      <w:tr>
        <w:tblPrEx>
          <w:tblBorders>
            <w:top w:val="single" w:color="999999" w:themeColor="text1" w:themeTint="66" w:sz="4" w:space="0"/>
            <w:left w:val="single" w:color="999999" w:themeColor="text1" w:themeTint="66" w:sz="4" w:space="0"/>
            <w:bottom w:val="single" w:color="999999" w:themeColor="text1" w:themeTint="66" w:sz="4" w:space="0"/>
            <w:right w:val="single" w:color="999999" w:themeColor="text1" w:themeTint="66" w:sz="4" w:space="0"/>
            <w:insideH w:val="single" w:color="999999" w:themeColor="text1" w:themeTint="66" w:sz="4" w:space="0"/>
            <w:insideV w:val="single" w:color="999999" w:themeColor="text1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</w:tcPr>
          <w:p>
            <w:pPr>
              <w:rPr>
                <w:b/>
                <w:bCs/>
                <w:lang w:val="en-GB"/>
              </w:rPr>
            </w:pPr>
            <w:r>
              <w:rPr>
                <w:b w:val="0"/>
                <w:bCs w:val="0"/>
                <w:lang w:val="en-GB"/>
              </w:rPr>
              <w:t>11</w:t>
            </w:r>
          </w:p>
        </w:tc>
        <w:tc>
          <w:tcPr>
            <w:tcW w:w="3995" w:type="dxa"/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Microshield Angle Blue Antimicrobial Hand Gel 500ml - For Infection Control</w:t>
            </w:r>
          </w:p>
        </w:tc>
        <w:tc>
          <w:tcPr>
            <w:tcW w:w="936" w:type="dxa"/>
          </w:tcPr>
          <w:p>
            <w:pPr>
              <w:rPr>
                <w:lang w:val="en-GB"/>
              </w:rPr>
            </w:pPr>
          </w:p>
        </w:tc>
        <w:tc>
          <w:tcPr>
            <w:tcW w:w="1137" w:type="dxa"/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120 Btls</w:t>
            </w:r>
          </w:p>
        </w:tc>
        <w:tc>
          <w:tcPr>
            <w:tcW w:w="1498" w:type="dxa"/>
          </w:tcPr>
          <w:p>
            <w:pPr>
              <w:rPr>
                <w:lang w:val="en-GB"/>
              </w:rPr>
            </w:pPr>
          </w:p>
        </w:tc>
        <w:tc>
          <w:tcPr>
            <w:tcW w:w="1390" w:type="dxa"/>
          </w:tcPr>
          <w:p>
            <w:pPr>
              <w:rPr>
                <w:lang w:val="en-GB"/>
              </w:rPr>
            </w:pPr>
          </w:p>
        </w:tc>
      </w:tr>
      <w:tr>
        <w:tblPrEx>
          <w:tblBorders>
            <w:top w:val="single" w:color="999999" w:themeColor="text1" w:themeTint="66" w:sz="4" w:space="0"/>
            <w:left w:val="single" w:color="999999" w:themeColor="text1" w:themeTint="66" w:sz="4" w:space="0"/>
            <w:bottom w:val="single" w:color="999999" w:themeColor="text1" w:themeTint="66" w:sz="4" w:space="0"/>
            <w:right w:val="single" w:color="999999" w:themeColor="text1" w:themeTint="66" w:sz="4" w:space="0"/>
            <w:insideH w:val="single" w:color="999999" w:themeColor="text1" w:themeTint="66" w:sz="4" w:space="0"/>
            <w:insideV w:val="single" w:color="999999" w:themeColor="text1" w:themeTint="66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7" w:type="dxa"/>
          </w:tcPr>
          <w:p>
            <w:pPr>
              <w:rPr>
                <w:b/>
                <w:bCs/>
                <w:lang w:val="en-GB"/>
              </w:rPr>
            </w:pPr>
            <w:r>
              <w:rPr>
                <w:b w:val="0"/>
                <w:bCs w:val="0"/>
                <w:lang w:val="en-GB"/>
              </w:rPr>
              <w:t>12</w:t>
            </w:r>
          </w:p>
        </w:tc>
        <w:tc>
          <w:tcPr>
            <w:tcW w:w="3995" w:type="dxa"/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Tuffie 5 Hospital Grade Disinfectant Wipe - For Infection Control</w:t>
            </w:r>
          </w:p>
        </w:tc>
        <w:tc>
          <w:tcPr>
            <w:tcW w:w="936" w:type="dxa"/>
          </w:tcPr>
          <w:p>
            <w:pPr>
              <w:rPr>
                <w:lang w:val="en-GB"/>
              </w:rPr>
            </w:pPr>
          </w:p>
        </w:tc>
        <w:tc>
          <w:tcPr>
            <w:tcW w:w="1137" w:type="dxa"/>
          </w:tcPr>
          <w:p>
            <w:pPr>
              <w:rPr>
                <w:lang w:val="en-GB"/>
              </w:rPr>
            </w:pPr>
            <w:r>
              <w:rPr>
                <w:lang w:val="en-GB"/>
              </w:rPr>
              <w:t>52 Tubs</w:t>
            </w:r>
          </w:p>
        </w:tc>
        <w:tc>
          <w:tcPr>
            <w:tcW w:w="1498" w:type="dxa"/>
          </w:tcPr>
          <w:p>
            <w:pPr>
              <w:rPr>
                <w:lang w:val="en-GB"/>
              </w:rPr>
            </w:pPr>
          </w:p>
        </w:tc>
        <w:tc>
          <w:tcPr>
            <w:tcW w:w="1390" w:type="dxa"/>
          </w:tcPr>
          <w:p>
            <w:pPr>
              <w:rPr>
                <w:lang w:val="en-GB"/>
              </w:rPr>
            </w:pPr>
          </w:p>
        </w:tc>
      </w:tr>
    </w:tbl>
    <w:p>
      <w:pPr>
        <w:rPr>
          <w:lang w:val="en-GB"/>
        </w:rPr>
      </w:pPr>
    </w:p>
    <w:sectPr>
      <w:headerReference r:id="rId4" w:type="default"/>
      <w:footerReference r:id="rId5" w:type="default"/>
      <w:type w:val="oddPage"/>
      <w:pgSz w:w="11907" w:h="16839"/>
      <w:pgMar w:top="1701" w:right="1152" w:bottom="1080" w:left="1152" w:header="284" w:footer="720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한양신명조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panose1 w:val="00000000000000000000"/>
    <w:charset w:val="81"/>
    <w:family w:val="roman"/>
    <w:pitch w:val="default"/>
    <w:sig w:usb0="00000000" w:usb1="00000000" w:usb2="00000010" w:usb3="00000000" w:csb0="00080000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휴먼명조">
    <w:altName w:val="Malgun Gothic"/>
    <w:panose1 w:val="00000000000000000000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550"/>
        <w:tab w:val="left" w:pos="5818"/>
      </w:tabs>
      <w:ind w:right="260"/>
      <w:jc w:val="right"/>
      <w:rPr>
        <w:color w:val="10243F" w:themeColor="text2" w:themeShade="80"/>
      </w:rPr>
    </w:pPr>
    <w:r>
      <w:rPr>
        <w:color w:val="558ED5" w:themeColor="text2" w:themeTint="99"/>
        <w:spacing w:val="60"/>
        <w:lang w:val="sv-SE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>Page</w:t>
    </w:r>
    <w:r>
      <w:rPr>
        <w:color w:val="558ED5" w:themeColor="text2" w:themeTint="99"/>
        <w:lang w:val="sv-SE"/>
        <w14:textFill>
          <w14:solidFill>
            <w14:schemeClr w14:val="tx2">
              <w14:lumMod w14:val="60000"/>
              <w14:lumOff w14:val="40000"/>
            </w14:schemeClr>
          </w14:solidFill>
        </w14:textFill>
      </w:rPr>
      <w:t xml:space="preserve"> </w:t>
    </w:r>
    <w:r>
      <w:rPr>
        <w:color w:val="17375E" w:themeColor="text2" w:themeShade="BF"/>
      </w:rPr>
      <w:fldChar w:fldCharType="begin"/>
    </w:r>
    <w:r>
      <w:rPr>
        <w:color w:val="17375E" w:themeColor="text2" w:themeShade="BF"/>
      </w:rPr>
      <w:instrText xml:space="preserve">PAGE   \* MERGEFORMAT</w:instrText>
    </w:r>
    <w:r>
      <w:rPr>
        <w:color w:val="17375E" w:themeColor="text2" w:themeShade="BF"/>
      </w:rPr>
      <w:fldChar w:fldCharType="separate"/>
    </w:r>
    <w:r>
      <w:rPr>
        <w:color w:val="17375E" w:themeColor="text2" w:themeShade="BF"/>
        <w:lang w:val="sv-SE"/>
      </w:rPr>
      <w:t>4</w:t>
    </w:r>
    <w:r>
      <w:rPr>
        <w:color w:val="17375E" w:themeColor="text2" w:themeShade="BF"/>
      </w:rPr>
      <w:fldChar w:fldCharType="end"/>
    </w:r>
    <w:r>
      <w:rPr>
        <w:color w:val="17375E" w:themeColor="text2" w:themeShade="BF"/>
        <w:lang w:val="sv-SE"/>
      </w:rPr>
      <w:t xml:space="preserve"> | </w:t>
    </w:r>
    <w:r>
      <w:rPr>
        <w:color w:val="17375E" w:themeColor="text2" w:themeShade="BF"/>
      </w:rPr>
      <w:fldChar w:fldCharType="begin"/>
    </w:r>
    <w:r>
      <w:rPr>
        <w:color w:val="17375E" w:themeColor="text2" w:themeShade="BF"/>
      </w:rPr>
      <w:instrText xml:space="preserve">NUMPAGES  \* Arabic  \* MERGEFORMAT</w:instrText>
    </w:r>
    <w:r>
      <w:rPr>
        <w:color w:val="17375E" w:themeColor="text2" w:themeShade="BF"/>
      </w:rPr>
      <w:fldChar w:fldCharType="separate"/>
    </w:r>
    <w:r>
      <w:rPr>
        <w:color w:val="17375E" w:themeColor="text2" w:themeShade="BF"/>
        <w:lang w:val="sv-SE"/>
      </w:rPr>
      <w:t>11</w:t>
    </w:r>
    <w:r>
      <w:rPr>
        <w:color w:val="17375E" w:themeColor="text2" w:themeShade="BF"/>
      </w:rPr>
      <w:fldChar w:fldCharType="end"/>
    </w:r>
  </w:p>
  <w:p>
    <w:pPr>
      <w:pStyle w:val="22"/>
    </w:pPr>
    <w:r>
      <w:fldChar w:fldCharType="begin"/>
    </w:r>
    <w:r>
      <w:instrText xml:space="preserve"> DATE \@ "yyyy-MM-dd" </w:instrText>
    </w:r>
    <w:r>
      <w:fldChar w:fldCharType="separate"/>
    </w:r>
    <w:r>
      <w:t>2021-03-10</w:t>
    </w:r>
    <w:r>
      <w:fldChar w:fldCharType="end"/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  <w:tabs>
        <w:tab w:val="center" w:pos="4820"/>
        <w:tab w:val="right" w:pos="9498"/>
        <w:tab w:val="clear" w:pos="4320"/>
        <w:tab w:val="clear" w:pos="8640"/>
      </w:tabs>
      <w:rPr>
        <w:rFonts w:cs="Calibri" w:asciiTheme="minorHAnsi" w:hAnsiTheme="minorHAnsi"/>
        <w:sz w:val="20"/>
      </w:rPr>
    </w:pPr>
    <w:r>
      <w:rPr>
        <w:rFonts w:cs="Calibri" w:asciiTheme="minorHAnsi" w:hAnsiTheme="minorHAnsi"/>
        <w:sz w:val="20"/>
      </w:rPr>
      <w:tab/>
    </w:r>
    <w:r>
      <w:drawing>
        <wp:inline distT="0" distB="0" distL="0" distR="0">
          <wp:extent cx="590550" cy="645795"/>
          <wp:effectExtent l="0" t="0" r="0" b="1905"/>
          <wp:docPr id="11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cs="Calibri" w:asciiTheme="minorHAnsi" w:hAnsiTheme="minorHAnsi"/>
        <w:sz w:val="20"/>
      </w:rPr>
      <w:tab/>
    </w:r>
    <w:r>
      <w:rPr>
        <w:rFonts w:cs="Calibri" w:asciiTheme="minorHAnsi" w:hAnsiTheme="minorHAnsi"/>
        <w:sz w:val="20"/>
      </w:rPr>
      <w:fldChar w:fldCharType="begin"/>
    </w:r>
    <w:r>
      <w:rPr>
        <w:rFonts w:cs="Calibri" w:asciiTheme="minorHAnsi" w:hAnsiTheme="minorHAnsi"/>
        <w:sz w:val="20"/>
      </w:rPr>
      <w:instrText xml:space="preserve"> REF Number \h  \* MERGEFORMAT </w:instrText>
    </w:r>
    <w:r>
      <w:rPr>
        <w:rFonts w:cs="Calibri" w:asciiTheme="minorHAnsi" w:hAnsiTheme="minorHAnsi"/>
        <w:sz w:val="20"/>
      </w:rPr>
      <w:fldChar w:fldCharType="separate"/>
    </w:r>
    <w:r>
      <w:rPr>
        <w:rStyle w:val="32"/>
        <w:rFonts w:asciiTheme="minorHAnsi" w:hAnsiTheme="minorHAnsi" w:cstheme="minorHAnsi"/>
        <w:lang w:val="en-GB"/>
      </w:rPr>
      <w:t>RFQ-MXXX-2020-000</w:t>
    </w:r>
    <w:r>
      <w:rPr>
        <w:rFonts w:cs="Calibri" w:asciiTheme="minorHAnsi" w:hAnsiTheme="minorHAns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0B27BFD"/>
    <w:multiLevelType w:val="multilevel"/>
    <w:tmpl w:val="20B27BFD"/>
    <w:lvl w:ilvl="0" w:tentative="0">
      <w:start w:val="1"/>
      <w:numFmt w:val="bullet"/>
      <w:pStyle w:val="66"/>
      <w:lvlText w:val="■"/>
      <w:lvlJc w:val="left"/>
      <w:pPr>
        <w:tabs>
          <w:tab w:val="left" w:pos="357"/>
        </w:tabs>
        <w:ind w:left="360" w:hanging="360"/>
      </w:pPr>
      <w:rPr>
        <w:rFonts w:hint="default" w:ascii="Times New Roman" w:hAnsi="Times New Roman" w:cs="Times New Roman"/>
        <w:color w:val="auto"/>
        <w:sz w:val="24"/>
      </w:rPr>
    </w:lvl>
    <w:lvl w:ilvl="1" w:tentative="0">
      <w:start w:val="1"/>
      <w:numFmt w:val="bullet"/>
      <w:pStyle w:val="67"/>
      <w:lvlText w:val="–"/>
      <w:lvlJc w:val="left"/>
      <w:pPr>
        <w:tabs>
          <w:tab w:val="left" w:pos="646"/>
        </w:tabs>
        <w:ind w:left="644" w:hanging="284"/>
      </w:pPr>
      <w:rPr>
        <w:rFonts w:hint="default" w:ascii="Arial" w:hAnsi="Arial"/>
        <w:color w:val="auto"/>
        <w:sz w:val="24"/>
      </w:rPr>
    </w:lvl>
    <w:lvl w:ilvl="2" w:tentative="0">
      <w:start w:val="1"/>
      <w:numFmt w:val="bullet"/>
      <w:pStyle w:val="68"/>
      <w:lvlText w:val="□"/>
      <w:lvlJc w:val="left"/>
      <w:pPr>
        <w:tabs>
          <w:tab w:val="left" w:pos="924"/>
        </w:tabs>
        <w:ind w:left="927" w:hanging="283"/>
      </w:pPr>
      <w:rPr>
        <w:rFonts w:hint="default" w:ascii="Times New Roman" w:hAnsi="Times New Roman" w:cs="Times New Roman"/>
        <w:color w:val="auto"/>
        <w:sz w:val="20"/>
      </w:rPr>
    </w:lvl>
    <w:lvl w:ilvl="3" w:tentative="0">
      <w:start w:val="1"/>
      <w:numFmt w:val="bullet"/>
      <w:pStyle w:val="69"/>
      <w:lvlText w:val="-"/>
      <w:lvlJc w:val="left"/>
      <w:pPr>
        <w:tabs>
          <w:tab w:val="left" w:pos="1213"/>
        </w:tabs>
        <w:ind w:left="1211" w:hanging="284"/>
      </w:pPr>
      <w:rPr>
        <w:rFonts w:hint="default" w:ascii="Times New Roman" w:hAnsi="Times New Roman" w:cs="Times New Roman"/>
        <w:color w:val="002960"/>
        <w:sz w:val="24"/>
      </w:rPr>
    </w:lvl>
    <w:lvl w:ilvl="4" w:tentative="0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 w:tentative="0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>
    <w:nsid w:val="734F004F"/>
    <w:multiLevelType w:val="multilevel"/>
    <w:tmpl w:val="734F004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7B8E557E"/>
    <w:multiLevelType w:val="multilevel"/>
    <w:tmpl w:val="7B8E557E"/>
    <w:lvl w:ilvl="0" w:tentative="0">
      <w:start w:val="1"/>
      <w:numFmt w:val="decimal"/>
      <w:pStyle w:val="70"/>
      <w:lvlText w:val="%1.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color w:val="auto"/>
        <w:sz w:val="26"/>
        <w:szCs w:val="26"/>
      </w:rPr>
    </w:lvl>
    <w:lvl w:ilvl="1" w:tentative="0">
      <w:start w:val="1"/>
      <w:numFmt w:val="lowerLetter"/>
      <w:pStyle w:val="71"/>
      <w:lvlText w:val="%2."/>
      <w:lvlJc w:val="left"/>
      <w:pPr>
        <w:tabs>
          <w:tab w:val="left" w:pos="646"/>
        </w:tabs>
        <w:ind w:left="646" w:hanging="289"/>
      </w:pPr>
      <w:rPr>
        <w:rFonts w:hint="default" w:ascii="Arial" w:hAnsi="Arial"/>
        <w:color w:val="auto"/>
        <w:sz w:val="22"/>
      </w:rPr>
    </w:lvl>
    <w:lvl w:ilvl="2" w:tentative="0">
      <w:start w:val="1"/>
      <w:numFmt w:val="decimal"/>
      <w:pStyle w:val="72"/>
      <w:lvlText w:val="%3)"/>
      <w:lvlJc w:val="left"/>
      <w:pPr>
        <w:tabs>
          <w:tab w:val="left" w:pos="924"/>
        </w:tabs>
        <w:ind w:left="924" w:hanging="278"/>
      </w:pPr>
      <w:rPr>
        <w:rFonts w:ascii="Times New Roman" w:hAnsi="Times New Roman" w:eastAsia="Batang" w:cs="Times New Roman"/>
        <w:color w:val="auto"/>
        <w:sz w:val="22"/>
        <w:szCs w:val="22"/>
      </w:rPr>
    </w:lvl>
    <w:lvl w:ilvl="3" w:tentative="0">
      <w:start w:val="1"/>
      <w:numFmt w:val="lowerLetter"/>
      <w:pStyle w:val="73"/>
      <w:lvlText w:val="%4)"/>
      <w:lvlJc w:val="left"/>
      <w:pPr>
        <w:tabs>
          <w:tab w:val="left" w:pos="1213"/>
        </w:tabs>
        <w:ind w:left="1213" w:hanging="289"/>
      </w:pPr>
      <w:rPr>
        <w:rFonts w:hint="default" w:ascii="Times New Roman" w:hAnsi="Times New Roman" w:cs="Times New Roman"/>
        <w:b w:val="0"/>
        <w:i w:val="0"/>
        <w:color w:val="auto"/>
        <w:sz w:val="26"/>
        <w:szCs w:val="26"/>
      </w:rPr>
    </w:lvl>
    <w:lvl w:ilvl="4" w:tentative="0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 w:tentative="0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 w:tentative="0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 w:tentative="0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 w:tentative="0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872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56558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CD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1C75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85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45B8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45B27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33D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0166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159F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42D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1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32BE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41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5FCB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0C08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87AD9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EF6CF3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17D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  <w:rsid w:val="3AFB4B36"/>
    <w:rsid w:val="787422A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iPriority="99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qFormat="1" w:unhideWhenUsed="0"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20"/>
    </w:pPr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paragraph" w:styleId="2">
    <w:name w:val="heading 1"/>
    <w:next w:val="1"/>
    <w:link w:val="51"/>
    <w:qFormat/>
    <w:uiPriority w:val="0"/>
    <w:pPr>
      <w:keepNext/>
      <w:keepLines/>
      <w:spacing w:before="240" w:after="240"/>
      <w:jc w:val="center"/>
      <w:outlineLvl w:val="0"/>
    </w:pPr>
    <w:rPr>
      <w:rFonts w:ascii="Calibri" w:hAnsi="Calibri" w:eastAsia="Malgun Gothic" w:cs="Times New Roman"/>
      <w:b/>
      <w:sz w:val="36"/>
      <w:szCs w:val="24"/>
      <w:lang w:val="en-GB" w:eastAsia="en-GB" w:bidi="ar-SA"/>
    </w:rPr>
  </w:style>
  <w:style w:type="paragraph" w:styleId="3">
    <w:name w:val="heading 2"/>
    <w:next w:val="1"/>
    <w:link w:val="78"/>
    <w:qFormat/>
    <w:uiPriority w:val="0"/>
    <w:pPr>
      <w:keepNext/>
      <w:keepLines/>
      <w:spacing w:before="360" w:after="240"/>
      <w:outlineLvl w:val="1"/>
    </w:pPr>
    <w:rPr>
      <w:rFonts w:ascii="Calibri" w:hAnsi="Calibri" w:eastAsia="Malgun Gothic" w:cs="Times New Roman"/>
      <w:b/>
      <w:sz w:val="32"/>
      <w:szCs w:val="32"/>
      <w:lang w:val="en-GB" w:eastAsia="en-US" w:bidi="ar-SA"/>
    </w:rPr>
  </w:style>
  <w:style w:type="paragraph" w:styleId="4">
    <w:name w:val="heading 3"/>
    <w:next w:val="1"/>
    <w:qFormat/>
    <w:uiPriority w:val="0"/>
    <w:pPr>
      <w:keepNext/>
      <w:keepLines/>
      <w:spacing w:before="360" w:after="240"/>
      <w:outlineLvl w:val="2"/>
    </w:pPr>
    <w:rPr>
      <w:rFonts w:ascii="Calibri" w:hAnsi="Calibri" w:eastAsia="Malgun Gothic" w:cs="Times New Roman"/>
      <w:b/>
      <w:sz w:val="26"/>
      <w:szCs w:val="24"/>
      <w:lang w:val="en-US" w:eastAsia="en-US" w:bidi="ar-SA"/>
    </w:rPr>
  </w:style>
  <w:style w:type="paragraph" w:styleId="5">
    <w:name w:val="heading 4"/>
    <w:next w:val="1"/>
    <w:qFormat/>
    <w:uiPriority w:val="0"/>
    <w:pPr>
      <w:keepNext/>
      <w:keepLines/>
      <w:spacing w:before="240" w:after="120"/>
      <w:outlineLvl w:val="3"/>
    </w:pPr>
    <w:rPr>
      <w:rFonts w:ascii="Calibri" w:hAnsi="Calibri" w:eastAsia="Malgun Gothic" w:cs="Times New Roman"/>
      <w:b/>
      <w:i/>
      <w:sz w:val="24"/>
      <w:szCs w:val="24"/>
      <w:lang w:val="en-US" w:eastAsia="en-US" w:bidi="ar-SA"/>
    </w:rPr>
  </w:style>
  <w:style w:type="paragraph" w:styleId="6">
    <w:name w:val="heading 5"/>
    <w:basedOn w:val="1"/>
    <w:next w:val="7"/>
    <w:link w:val="52"/>
    <w:qFormat/>
    <w:uiPriority w:val="0"/>
    <w:pPr>
      <w:spacing w:after="240"/>
      <w:outlineLvl w:val="4"/>
    </w:pPr>
    <w:rPr>
      <w:szCs w:val="20"/>
    </w:rPr>
  </w:style>
  <w:style w:type="paragraph" w:styleId="8">
    <w:name w:val="heading 6"/>
    <w:basedOn w:val="1"/>
    <w:next w:val="7"/>
    <w:qFormat/>
    <w:uiPriority w:val="0"/>
    <w:pPr>
      <w:spacing w:after="240"/>
      <w:ind w:left="1440" w:hanging="720"/>
      <w:outlineLvl w:val="5"/>
    </w:pPr>
  </w:style>
  <w:style w:type="paragraph" w:styleId="9">
    <w:name w:val="heading 7"/>
    <w:basedOn w:val="1"/>
    <w:next w:val="7"/>
    <w:qFormat/>
    <w:uiPriority w:val="0"/>
    <w:pPr>
      <w:spacing w:after="240"/>
      <w:ind w:left="2160" w:hanging="720"/>
      <w:outlineLvl w:val="6"/>
    </w:pPr>
  </w:style>
  <w:style w:type="paragraph" w:styleId="10">
    <w:name w:val="heading 8"/>
    <w:basedOn w:val="1"/>
    <w:next w:val="7"/>
    <w:qFormat/>
    <w:uiPriority w:val="0"/>
    <w:pPr>
      <w:spacing w:after="240"/>
      <w:ind w:left="2880" w:hanging="720"/>
      <w:outlineLvl w:val="7"/>
    </w:pPr>
  </w:style>
  <w:style w:type="paragraph" w:styleId="11">
    <w:name w:val="heading 9"/>
    <w:basedOn w:val="1"/>
    <w:next w:val="7"/>
    <w:qFormat/>
    <w:uiPriority w:val="0"/>
    <w:pPr>
      <w:spacing w:after="240"/>
      <w:ind w:left="3600" w:hanging="720"/>
      <w:outlineLvl w:val="8"/>
    </w:pPr>
  </w:style>
  <w:style w:type="character" w:default="1" w:styleId="12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BankNormal"/>
    <w:basedOn w:val="1"/>
    <w:qFormat/>
    <w:uiPriority w:val="0"/>
    <w:pPr>
      <w:spacing w:after="240"/>
    </w:pPr>
  </w:style>
  <w:style w:type="paragraph" w:styleId="14">
    <w:name w:val="Balloon Text"/>
    <w:basedOn w:val="1"/>
    <w:link w:val="49"/>
    <w:qFormat/>
    <w:uiPriority w:val="0"/>
    <w:rPr>
      <w:rFonts w:ascii="Malgun Gothic" w:hAnsi="Malgun Gothic"/>
      <w:sz w:val="18"/>
      <w:szCs w:val="18"/>
    </w:rPr>
  </w:style>
  <w:style w:type="paragraph" w:styleId="15">
    <w:name w:val="Body Text"/>
    <w:basedOn w:val="1"/>
    <w:qFormat/>
    <w:uiPriority w:val="0"/>
    <w:pPr>
      <w:suppressAutoHyphens/>
      <w:spacing w:after="120"/>
      <w:jc w:val="both"/>
    </w:pPr>
  </w:style>
  <w:style w:type="paragraph" w:styleId="16">
    <w:name w:val="Body Text 3"/>
    <w:basedOn w:val="1"/>
    <w:link w:val="60"/>
    <w:uiPriority w:val="0"/>
    <w:pPr>
      <w:spacing w:after="120"/>
    </w:pPr>
    <w:rPr>
      <w:sz w:val="16"/>
      <w:szCs w:val="16"/>
    </w:rPr>
  </w:style>
  <w:style w:type="paragraph" w:styleId="17">
    <w:name w:val="Body Text Indent"/>
    <w:basedOn w:val="1"/>
    <w:link w:val="58"/>
    <w:uiPriority w:val="0"/>
    <w:pPr>
      <w:spacing w:after="120"/>
      <w:ind w:left="360"/>
    </w:pPr>
    <w:rPr>
      <w:szCs w:val="20"/>
    </w:rPr>
  </w:style>
  <w:style w:type="character" w:styleId="18">
    <w:name w:val="annotation reference"/>
    <w:unhideWhenUsed/>
    <w:uiPriority w:val="99"/>
    <w:rPr>
      <w:sz w:val="18"/>
      <w:szCs w:val="18"/>
    </w:rPr>
  </w:style>
  <w:style w:type="paragraph" w:styleId="19">
    <w:name w:val="annotation text"/>
    <w:basedOn w:val="1"/>
    <w:link w:val="55"/>
    <w:unhideWhenUsed/>
    <w:qFormat/>
    <w:uiPriority w:val="99"/>
    <w:rPr>
      <w:rFonts w:ascii="Arial" w:hAnsi="Arial"/>
      <w:sz w:val="20"/>
      <w:szCs w:val="20"/>
      <w:lang w:val="de-DE" w:eastAsia="de-DE"/>
    </w:rPr>
  </w:style>
  <w:style w:type="paragraph" w:styleId="20">
    <w:name w:val="annotation subject"/>
    <w:basedOn w:val="19"/>
    <w:next w:val="19"/>
    <w:semiHidden/>
    <w:uiPriority w:val="0"/>
    <w:rPr>
      <w:rFonts w:ascii="Times New Roman" w:hAnsi="Times New Roman"/>
      <w:b/>
      <w:bCs/>
      <w:lang w:val="en-US" w:eastAsia="en-US"/>
    </w:rPr>
  </w:style>
  <w:style w:type="character" w:styleId="21">
    <w:name w:val="FollowedHyperlink"/>
    <w:basedOn w:val="12"/>
    <w:semiHidden/>
    <w:unhideWhenUsed/>
    <w:qFormat/>
    <w:uiPriority w:val="0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paragraph" w:styleId="22">
    <w:name w:val="footer"/>
    <w:basedOn w:val="1"/>
    <w:link w:val="57"/>
    <w:qFormat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23">
    <w:name w:val="footnote reference"/>
    <w:semiHidden/>
    <w:qFormat/>
    <w:uiPriority w:val="0"/>
    <w:rPr>
      <w:rFonts w:ascii="Times New Roman" w:hAnsi="Times New Roman"/>
      <w:position w:val="0"/>
      <w:sz w:val="24"/>
      <w:vertAlign w:val="superscript"/>
    </w:rPr>
  </w:style>
  <w:style w:type="paragraph" w:styleId="24">
    <w:name w:val="footnote text"/>
    <w:basedOn w:val="1"/>
    <w:link w:val="53"/>
    <w:semiHidden/>
    <w:qFormat/>
    <w:uiPriority w:val="0"/>
    <w:pPr>
      <w:spacing w:after="120"/>
      <w:ind w:left="432" w:hanging="432"/>
    </w:pPr>
    <w:rPr>
      <w:sz w:val="20"/>
    </w:rPr>
  </w:style>
  <w:style w:type="paragraph" w:styleId="25">
    <w:name w:val="header"/>
    <w:basedOn w:val="1"/>
    <w:link w:val="50"/>
    <w:qFormat/>
    <w:uiPriority w:val="99"/>
    <w:pPr>
      <w:tabs>
        <w:tab w:val="center" w:pos="4320"/>
        <w:tab w:val="right" w:pos="8640"/>
      </w:tabs>
    </w:pPr>
    <w:rPr>
      <w:szCs w:val="20"/>
    </w:rPr>
  </w:style>
  <w:style w:type="character" w:styleId="26">
    <w:name w:val="Hyperlink"/>
    <w:qFormat/>
    <w:uiPriority w:val="0"/>
    <w:rPr>
      <w:color w:val="0000FF"/>
      <w:u w:val="single"/>
    </w:rPr>
  </w:style>
  <w:style w:type="paragraph" w:styleId="27">
    <w:name w:val="macro"/>
    <w:semiHidden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paragraph" w:styleId="28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29">
    <w:name w:val="Normal Indent"/>
    <w:basedOn w:val="1"/>
    <w:qFormat/>
    <w:uiPriority w:val="0"/>
    <w:pPr>
      <w:ind w:left="720"/>
    </w:pPr>
  </w:style>
  <w:style w:type="character" w:styleId="30">
    <w:name w:val="page number"/>
    <w:basedOn w:val="12"/>
    <w:qFormat/>
    <w:uiPriority w:val="0"/>
  </w:style>
  <w:style w:type="paragraph" w:styleId="31">
    <w:name w:val="Plain Text"/>
    <w:basedOn w:val="1"/>
    <w:link w:val="59"/>
    <w:unhideWhenUsed/>
    <w:qFormat/>
    <w:uiPriority w:val="0"/>
    <w:rPr>
      <w:rFonts w:ascii="Consolas" w:hAnsi="Consolas" w:eastAsia="Calibri"/>
      <w:sz w:val="21"/>
      <w:szCs w:val="21"/>
    </w:rPr>
  </w:style>
  <w:style w:type="character" w:styleId="32">
    <w:name w:val="Strong"/>
    <w:qFormat/>
    <w:uiPriority w:val="0"/>
    <w:rPr>
      <w:b/>
      <w:bCs/>
    </w:rPr>
  </w:style>
  <w:style w:type="table" w:styleId="33">
    <w:name w:val="Table Grid"/>
    <w:basedOn w:val="13"/>
    <w:qFormat/>
    <w:uiPriority w:val="59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4">
    <w:name w:val="toc 1"/>
    <w:basedOn w:val="1"/>
    <w:next w:val="1"/>
    <w:qFormat/>
    <w:uiPriority w:val="39"/>
    <w:pPr>
      <w:tabs>
        <w:tab w:val="right" w:leader="dot" w:pos="9360"/>
      </w:tabs>
    </w:pPr>
    <w:rPr>
      <w:caps/>
    </w:rPr>
  </w:style>
  <w:style w:type="paragraph" w:styleId="35">
    <w:name w:val="toc 2"/>
    <w:basedOn w:val="1"/>
    <w:next w:val="1"/>
    <w:qFormat/>
    <w:uiPriority w:val="39"/>
    <w:pPr>
      <w:tabs>
        <w:tab w:val="right" w:leader="dot" w:pos="9360"/>
      </w:tabs>
      <w:ind w:left="720"/>
    </w:pPr>
    <w:rPr>
      <w:smallCaps/>
    </w:rPr>
  </w:style>
  <w:style w:type="paragraph" w:styleId="36">
    <w:name w:val="toc 3"/>
    <w:basedOn w:val="1"/>
    <w:next w:val="1"/>
    <w:qFormat/>
    <w:uiPriority w:val="39"/>
    <w:pPr>
      <w:tabs>
        <w:tab w:val="right" w:leader="dot" w:pos="9360"/>
      </w:tabs>
      <w:ind w:left="1440"/>
    </w:pPr>
  </w:style>
  <w:style w:type="paragraph" w:styleId="37">
    <w:name w:val="toc 4"/>
    <w:basedOn w:val="1"/>
    <w:next w:val="1"/>
    <w:qFormat/>
    <w:uiPriority w:val="39"/>
    <w:pPr>
      <w:tabs>
        <w:tab w:val="right" w:leader="dot" w:pos="9360"/>
      </w:tabs>
      <w:ind w:left="2160"/>
    </w:pPr>
  </w:style>
  <w:style w:type="paragraph" w:styleId="38">
    <w:name w:val="toc 5"/>
    <w:basedOn w:val="1"/>
    <w:next w:val="1"/>
    <w:semiHidden/>
    <w:qFormat/>
    <w:uiPriority w:val="0"/>
    <w:pPr>
      <w:tabs>
        <w:tab w:val="right" w:leader="dot" w:pos="9360"/>
      </w:tabs>
      <w:ind w:left="2880"/>
    </w:pPr>
    <w:rPr>
      <w:sz w:val="18"/>
    </w:rPr>
  </w:style>
  <w:style w:type="paragraph" w:styleId="39">
    <w:name w:val="toc 6"/>
    <w:basedOn w:val="1"/>
    <w:next w:val="1"/>
    <w:semiHidden/>
    <w:qFormat/>
    <w:uiPriority w:val="0"/>
    <w:pPr>
      <w:tabs>
        <w:tab w:val="right" w:leader="dot" w:pos="9360"/>
      </w:tabs>
      <w:ind w:left="3600"/>
    </w:pPr>
    <w:rPr>
      <w:sz w:val="18"/>
    </w:rPr>
  </w:style>
  <w:style w:type="paragraph" w:styleId="40">
    <w:name w:val="toc 7"/>
    <w:basedOn w:val="1"/>
    <w:next w:val="1"/>
    <w:semiHidden/>
    <w:qFormat/>
    <w:uiPriority w:val="0"/>
    <w:pPr>
      <w:tabs>
        <w:tab w:val="right" w:leader="dot" w:pos="9360"/>
      </w:tabs>
      <w:ind w:left="1200"/>
    </w:pPr>
    <w:rPr>
      <w:sz w:val="18"/>
    </w:rPr>
  </w:style>
  <w:style w:type="paragraph" w:styleId="41">
    <w:name w:val="toc 8"/>
    <w:basedOn w:val="1"/>
    <w:next w:val="1"/>
    <w:semiHidden/>
    <w:qFormat/>
    <w:uiPriority w:val="0"/>
    <w:pPr>
      <w:tabs>
        <w:tab w:val="right" w:leader="dot" w:pos="9360"/>
      </w:tabs>
      <w:ind w:left="1440"/>
    </w:pPr>
    <w:rPr>
      <w:sz w:val="18"/>
    </w:rPr>
  </w:style>
  <w:style w:type="paragraph" w:styleId="42">
    <w:name w:val="toc 9"/>
    <w:basedOn w:val="1"/>
    <w:next w:val="1"/>
    <w:semiHidden/>
    <w:qFormat/>
    <w:uiPriority w:val="0"/>
    <w:pPr>
      <w:tabs>
        <w:tab w:val="right" w:leader="dot" w:pos="9360"/>
      </w:tabs>
      <w:ind w:left="1680"/>
    </w:pPr>
    <w:rPr>
      <w:sz w:val="18"/>
    </w:rPr>
  </w:style>
  <w:style w:type="paragraph" w:customStyle="1" w:styleId="43">
    <w:name w:val="ChapterNumber"/>
    <w:basedOn w:val="1"/>
    <w:next w:val="1"/>
    <w:qFormat/>
    <w:uiPriority w:val="0"/>
    <w:pPr>
      <w:spacing w:after="360"/>
    </w:pPr>
  </w:style>
  <w:style w:type="paragraph" w:customStyle="1" w:styleId="44">
    <w:name w:val="Text Box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jc w:val="both"/>
    </w:pPr>
    <w:rPr>
      <w:sz w:val="22"/>
    </w:rPr>
  </w:style>
  <w:style w:type="paragraph" w:customStyle="1" w:styleId="45">
    <w:name w:val="Text Box (dots)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  <w:jc w:val="both"/>
    </w:pPr>
    <w:rPr>
      <w:sz w:val="22"/>
    </w:rPr>
  </w:style>
  <w:style w:type="paragraph" w:customStyle="1" w:styleId="46">
    <w:name w:val="Text Box Framed"/>
    <w:basedOn w:val="1"/>
    <w:qFormat/>
    <w:uiPriority w:val="0"/>
    <w:pPr>
      <w:keepLines/>
      <w:framePr w:hSpace="187" w:wrap="auto" w:vAnchor="text" w:hAnchor="text" w:xAlign="right" w:y="1"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</w:pPr>
    <w:rPr>
      <w:sz w:val="22"/>
    </w:rPr>
  </w:style>
  <w:style w:type="paragraph" w:customStyle="1" w:styleId="47">
    <w:name w:val="Text Box Unframed"/>
    <w:basedOn w:val="1"/>
    <w:qFormat/>
    <w:uiPriority w:val="0"/>
    <w:pPr>
      <w:keepLines/>
      <w:pBdr>
        <w:top w:val="single" w:color="auto" w:sz="6" w:space="7"/>
        <w:left w:val="single" w:color="auto" w:sz="6" w:space="7"/>
        <w:bottom w:val="single" w:color="auto" w:sz="6" w:space="7"/>
        <w:right w:val="single" w:color="auto" w:sz="6" w:space="7"/>
      </w:pBdr>
      <w:shd w:val="pct10" w:color="auto" w:fill="auto"/>
    </w:pPr>
    <w:rPr>
      <w:sz w:val="22"/>
    </w:rPr>
  </w:style>
  <w:style w:type="paragraph" w:customStyle="1" w:styleId="48">
    <w:name w:val="Heading 1a"/>
    <w:basedOn w:val="2"/>
    <w:next w:val="7"/>
    <w:qFormat/>
    <w:uiPriority w:val="0"/>
    <w:pPr>
      <w:outlineLvl w:val="9"/>
    </w:pPr>
  </w:style>
  <w:style w:type="character" w:customStyle="1" w:styleId="49">
    <w:name w:val="Balloon Text Char"/>
    <w:link w:val="14"/>
    <w:qFormat/>
    <w:uiPriority w:val="0"/>
    <w:rPr>
      <w:rFonts w:ascii="Malgun Gothic" w:hAnsi="Malgun Gothic" w:eastAsia="Malgun Gothic" w:cs="Times New Roman"/>
      <w:sz w:val="18"/>
      <w:szCs w:val="18"/>
      <w:lang w:eastAsia="en-US"/>
    </w:rPr>
  </w:style>
  <w:style w:type="character" w:customStyle="1" w:styleId="50">
    <w:name w:val="Header Char"/>
    <w:link w:val="25"/>
    <w:qFormat/>
    <w:uiPriority w:val="99"/>
    <w:rPr>
      <w:sz w:val="24"/>
      <w:lang w:eastAsia="en-US"/>
    </w:rPr>
  </w:style>
  <w:style w:type="character" w:customStyle="1" w:styleId="51">
    <w:name w:val="Heading 1 Char"/>
    <w:link w:val="2"/>
    <w:qFormat/>
    <w:uiPriority w:val="0"/>
    <w:rPr>
      <w:rFonts w:ascii="Calibri" w:hAnsi="Calibri"/>
      <w:b/>
      <w:sz w:val="36"/>
      <w:szCs w:val="24"/>
      <w:lang w:bidi="ar-SA"/>
    </w:rPr>
  </w:style>
  <w:style w:type="character" w:customStyle="1" w:styleId="52">
    <w:name w:val="Heading 5 Char"/>
    <w:link w:val="6"/>
    <w:qFormat/>
    <w:uiPriority w:val="0"/>
    <w:rPr>
      <w:sz w:val="24"/>
    </w:rPr>
  </w:style>
  <w:style w:type="character" w:customStyle="1" w:styleId="53">
    <w:name w:val="Footnote Text Char"/>
    <w:link w:val="24"/>
    <w:semiHidden/>
    <w:qFormat/>
    <w:uiPriority w:val="0"/>
  </w:style>
  <w:style w:type="paragraph" w:customStyle="1" w:styleId="54">
    <w:name w:val="Colorful List - Accent 11"/>
    <w:basedOn w:val="1"/>
    <w:qFormat/>
    <w:uiPriority w:val="99"/>
    <w:pPr>
      <w:ind w:left="720"/>
      <w:contextualSpacing/>
    </w:pPr>
    <w:rPr>
      <w:rFonts w:ascii="Cambria" w:hAnsi="Cambria"/>
    </w:rPr>
  </w:style>
  <w:style w:type="character" w:customStyle="1" w:styleId="55">
    <w:name w:val="Comment Text Char"/>
    <w:link w:val="19"/>
    <w:qFormat/>
    <w:uiPriority w:val="99"/>
    <w:rPr>
      <w:rFonts w:ascii="Arial" w:hAnsi="Arial"/>
      <w:lang w:val="de-DE" w:eastAsia="de-DE"/>
    </w:rPr>
  </w:style>
  <w:style w:type="character" w:customStyle="1" w:styleId="56">
    <w:name w:val="green_14"/>
    <w:basedOn w:val="12"/>
    <w:qFormat/>
    <w:uiPriority w:val="0"/>
  </w:style>
  <w:style w:type="character" w:customStyle="1" w:styleId="57">
    <w:name w:val="Footer Char"/>
    <w:link w:val="22"/>
    <w:qFormat/>
    <w:uiPriority w:val="99"/>
    <w:rPr>
      <w:sz w:val="24"/>
    </w:rPr>
  </w:style>
  <w:style w:type="character" w:customStyle="1" w:styleId="58">
    <w:name w:val="Body Text Indent Char"/>
    <w:link w:val="17"/>
    <w:qFormat/>
    <w:uiPriority w:val="0"/>
    <w:rPr>
      <w:sz w:val="24"/>
    </w:rPr>
  </w:style>
  <w:style w:type="character" w:customStyle="1" w:styleId="59">
    <w:name w:val="Plain Text Char"/>
    <w:link w:val="31"/>
    <w:uiPriority w:val="0"/>
    <w:rPr>
      <w:rFonts w:ascii="Consolas" w:hAnsi="Consolas" w:eastAsia="Calibri"/>
      <w:sz w:val="21"/>
      <w:szCs w:val="21"/>
    </w:rPr>
  </w:style>
  <w:style w:type="character" w:customStyle="1" w:styleId="60">
    <w:name w:val="Body Text 3 Char"/>
    <w:link w:val="16"/>
    <w:qFormat/>
    <w:uiPriority w:val="0"/>
    <w:rPr>
      <w:sz w:val="16"/>
      <w:szCs w:val="16"/>
    </w:rPr>
  </w:style>
  <w:style w:type="paragraph" w:customStyle="1" w:styleId="61">
    <w:name w:val="선그리기"/>
    <w:basedOn w:val="1"/>
    <w:qFormat/>
    <w:uiPriority w:val="0"/>
    <w:pPr>
      <w:snapToGrid w:val="0"/>
      <w:spacing w:line="384" w:lineRule="auto"/>
      <w:jc w:val="both"/>
    </w:pPr>
    <w:rPr>
      <w:rFonts w:ascii="한양신명조" w:hAnsi="산세리프" w:eastAsia="한양신명조" w:cs="Gulim"/>
      <w:color w:val="000000"/>
      <w:sz w:val="20"/>
      <w:lang w:eastAsia="ko-KR"/>
    </w:rPr>
  </w:style>
  <w:style w:type="paragraph" w:customStyle="1" w:styleId="62">
    <w:name w:val="Table Contents"/>
    <w:link w:val="64"/>
    <w:qFormat/>
    <w:uiPriority w:val="0"/>
    <w:rPr>
      <w:rFonts w:ascii="Calibri" w:hAnsi="Calibri" w:eastAsia="Malgun Gothic" w:cs="Times New Roman"/>
      <w:kern w:val="2"/>
      <w:sz w:val="24"/>
      <w:szCs w:val="24"/>
      <w:lang w:val="en-GB" w:eastAsia="ko-KR" w:bidi="ar-SA"/>
    </w:rPr>
  </w:style>
  <w:style w:type="paragraph" w:customStyle="1" w:styleId="63">
    <w:name w:val="바탕글"/>
    <w:basedOn w:val="1"/>
    <w:qFormat/>
    <w:uiPriority w:val="0"/>
    <w:pPr>
      <w:snapToGrid w:val="0"/>
      <w:spacing w:line="384" w:lineRule="auto"/>
      <w:jc w:val="both"/>
    </w:pPr>
    <w:rPr>
      <w:rFonts w:ascii="Batang" w:hAnsi="Batang" w:eastAsia="Batang" w:cs="Gulim"/>
      <w:color w:val="000000"/>
      <w:sz w:val="20"/>
      <w:lang w:eastAsia="ko-KR"/>
    </w:rPr>
  </w:style>
  <w:style w:type="character" w:customStyle="1" w:styleId="64">
    <w:name w:val="Table Contents Char"/>
    <w:link w:val="62"/>
    <w:qFormat/>
    <w:uiPriority w:val="0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65">
    <w:name w:val="-"/>
    <w:basedOn w:val="1"/>
    <w:qFormat/>
    <w:uiPriority w:val="0"/>
    <w:pPr>
      <w:snapToGrid w:val="0"/>
      <w:spacing w:line="384" w:lineRule="auto"/>
      <w:ind w:left="720"/>
      <w:jc w:val="both"/>
    </w:pPr>
    <w:rPr>
      <w:rFonts w:ascii="휴먼명조" w:hAnsi="HCI Poppy" w:eastAsia="휴먼명조" w:cs="Gulim"/>
      <w:color w:val="000000"/>
      <w:lang w:eastAsia="ko-KR"/>
    </w:rPr>
  </w:style>
  <w:style w:type="paragraph" w:customStyle="1" w:styleId="66">
    <w:name w:val="01 square bullet"/>
    <w:basedOn w:val="1"/>
    <w:qFormat/>
    <w:uiPriority w:val="0"/>
    <w:pPr>
      <w:numPr>
        <w:ilvl w:val="0"/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67">
    <w:name w:val="02 dash"/>
    <w:basedOn w:val="66"/>
    <w:qFormat/>
    <w:uiPriority w:val="0"/>
    <w:pPr>
      <w:numPr>
        <w:ilvl w:val="1"/>
      </w:numPr>
    </w:pPr>
  </w:style>
  <w:style w:type="paragraph" w:customStyle="1" w:styleId="68">
    <w:name w:val="03 open square bullet"/>
    <w:basedOn w:val="67"/>
    <w:qFormat/>
    <w:uiPriority w:val="0"/>
    <w:pPr>
      <w:numPr>
        <w:ilvl w:val="2"/>
      </w:numPr>
      <w:ind w:left="936" w:hanging="288"/>
    </w:pPr>
  </w:style>
  <w:style w:type="paragraph" w:customStyle="1" w:styleId="69">
    <w:name w:val="04 short dash"/>
    <w:basedOn w:val="68"/>
    <w:qFormat/>
    <w:uiPriority w:val="0"/>
    <w:pPr>
      <w:numPr>
        <w:ilvl w:val="3"/>
      </w:numPr>
    </w:pPr>
  </w:style>
  <w:style w:type="paragraph" w:customStyle="1" w:styleId="70">
    <w:name w:val="05 number/1"/>
    <w:basedOn w:val="1"/>
    <w:qFormat/>
    <w:uiPriority w:val="0"/>
    <w:pPr>
      <w:numPr>
        <w:ilvl w:val="0"/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71">
    <w:name w:val="06 letter/2"/>
    <w:basedOn w:val="1"/>
    <w:qFormat/>
    <w:uiPriority w:val="0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72">
    <w:name w:val="07 number/3"/>
    <w:basedOn w:val="1"/>
    <w:qFormat/>
    <w:uiPriority w:val="0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73">
    <w:name w:val="08 letter/4"/>
    <w:basedOn w:val="1"/>
    <w:qFormat/>
    <w:uiPriority w:val="0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74">
    <w:name w:val="Heading Page1stuff"/>
    <w:next w:val="1"/>
    <w:qFormat/>
    <w:uiPriority w:val="0"/>
    <w:pPr>
      <w:spacing w:after="60" w:line="360" w:lineRule="auto"/>
    </w:pPr>
    <w:rPr>
      <w:rFonts w:ascii="Calibri" w:hAnsi="Calibri" w:eastAsia="Malgun Gothic" w:cs="Times New Roman"/>
      <w:b/>
      <w:sz w:val="28"/>
      <w:szCs w:val="24"/>
      <w:lang w:val="en-US" w:eastAsia="en-US" w:bidi="ar-SA"/>
    </w:rPr>
  </w:style>
  <w:style w:type="paragraph" w:customStyle="1" w:styleId="75">
    <w:name w:val="Colorful List - Accent 12"/>
    <w:basedOn w:val="1"/>
    <w:qFormat/>
    <w:uiPriority w:val="34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76">
    <w:name w:val="No Spacing1"/>
    <w:link w:val="77"/>
    <w:qFormat/>
    <w:uiPriority w:val="1"/>
    <w:rPr>
      <w:rFonts w:ascii="Calibri" w:hAnsi="Calibri" w:eastAsia="MS Mincho" w:cs="Times New Roman"/>
      <w:sz w:val="22"/>
      <w:szCs w:val="22"/>
      <w:lang w:val="en-GB" w:eastAsia="en-GB" w:bidi="ar-SA"/>
    </w:rPr>
  </w:style>
  <w:style w:type="character" w:customStyle="1" w:styleId="77">
    <w:name w:val="No Spacing Char"/>
    <w:link w:val="76"/>
    <w:qFormat/>
    <w:uiPriority w:val="1"/>
    <w:rPr>
      <w:rFonts w:ascii="Calibri" w:hAnsi="Calibri" w:eastAsia="MS Mincho"/>
      <w:sz w:val="22"/>
      <w:szCs w:val="22"/>
      <w:lang w:eastAsia="en-GB" w:bidi="ar-SA"/>
    </w:rPr>
  </w:style>
  <w:style w:type="character" w:customStyle="1" w:styleId="78">
    <w:name w:val="Heading 2 Char"/>
    <w:link w:val="3"/>
    <w:qFormat/>
    <w:uiPriority w:val="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79">
    <w:name w:val="Colorful Shading - Accent 11"/>
    <w:hidden/>
    <w:semiHidden/>
    <w:qFormat/>
    <w:uiPriority w:val="99"/>
    <w:rPr>
      <w:rFonts w:ascii="Times New Roman" w:hAnsi="Times New Roman" w:eastAsia="Malgun Gothic" w:cs="Times New Roman"/>
      <w:sz w:val="24"/>
      <w:szCs w:val="24"/>
      <w:lang w:val="en-US" w:eastAsia="en-US" w:bidi="ar-SA"/>
    </w:rPr>
  </w:style>
  <w:style w:type="character" w:customStyle="1" w:styleId="80">
    <w:name w:val="Pie de página Car"/>
    <w:qFormat/>
    <w:uiPriority w:val="99"/>
    <w:rPr>
      <w:rFonts w:eastAsia="Cambria"/>
      <w:sz w:val="21"/>
    </w:rPr>
  </w:style>
  <w:style w:type="paragraph" w:styleId="81">
    <w:name w:val="List Paragraph"/>
    <w:basedOn w:val="1"/>
    <w:qFormat/>
    <w:uiPriority w:val="34"/>
    <w:pPr>
      <w:widowControl w:val="0"/>
      <w:wordWrap w:val="0"/>
      <w:autoSpaceDE w:val="0"/>
      <w:autoSpaceDN w:val="0"/>
      <w:ind w:left="800" w:leftChars="400"/>
      <w:jc w:val="both"/>
    </w:pPr>
    <w:rPr>
      <w:rFonts w:ascii="Calibri" w:hAnsi="Calibri" w:eastAsia="Times New Roman"/>
      <w:kern w:val="2"/>
      <w:sz w:val="20"/>
      <w:szCs w:val="22"/>
      <w:lang w:eastAsia="ko-KR"/>
    </w:rPr>
  </w:style>
  <w:style w:type="table" w:customStyle="1" w:styleId="82">
    <w:name w:val="Light List1"/>
    <w:basedOn w:val="13"/>
    <w:qFormat/>
    <w:uiPriority w:val="61"/>
    <w:rPr>
      <w:rFonts w:ascii="Calibri" w:hAnsi="Calibri" w:eastAsia="Times New Roman"/>
      <w:kern w:val="2"/>
      <w:szCs w:val="22"/>
      <w:lang w:val="en-US" w:eastAsia="ko-KR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character" w:customStyle="1" w:styleId="83">
    <w:name w:val="apple-converted-space"/>
    <w:basedOn w:val="12"/>
    <w:qFormat/>
    <w:uiPriority w:val="0"/>
  </w:style>
  <w:style w:type="paragraph" w:customStyle="1" w:styleId="84">
    <w:name w:val="Style Heading 4 + +Body (Calibri)"/>
    <w:basedOn w:val="5"/>
    <w:qFormat/>
    <w:uiPriority w:val="0"/>
    <w:pPr>
      <w:spacing w:before="360"/>
    </w:pPr>
    <w:rPr>
      <w:i w:val="0"/>
      <w:szCs w:val="22"/>
      <w:u w:val="single"/>
      <w:lang w:eastAsia="ko-KR"/>
    </w:rPr>
  </w:style>
  <w:style w:type="character" w:customStyle="1" w:styleId="85">
    <w:name w:val="Unresolved Mention1"/>
    <w:basedOn w:val="12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86">
    <w:name w:val="Grid Table 1 Light1"/>
    <w:basedOn w:val="13"/>
    <w:qFormat/>
    <w:uiPriority w:val="46"/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485A4D-2AE0-4864-AE17-25B5234366A4}">
  <ds:schemaRefs/>
</ds:datastoreItem>
</file>

<file path=customXml/itemProps3.xml><?xml version="1.0" encoding="utf-8"?>
<ds:datastoreItem xmlns:ds="http://schemas.openxmlformats.org/officeDocument/2006/customXml" ds:itemID="{5C3019AD-311D-41F0-9E19-A65F7B1DF154}">
  <ds:schemaRefs/>
</ds:datastoreItem>
</file>

<file path=customXml/itemProps4.xml><?xml version="1.0" encoding="utf-8"?>
<ds:datastoreItem xmlns:ds="http://schemas.openxmlformats.org/officeDocument/2006/customXml" ds:itemID="{2DBE7A18-72B1-46CE-BE67-00617F8B30CB}">
  <ds:schemaRefs/>
</ds:datastoreItem>
</file>

<file path=customXml/itemProps5.xml><?xml version="1.0" encoding="utf-8"?>
<ds:datastoreItem xmlns:ds="http://schemas.openxmlformats.org/officeDocument/2006/customXml" ds:itemID="{61574D59-FDCB-466F-981F-3445A717377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Company>PricewaterhouseCoopers</Company>
  <Pages>3</Pages>
  <Words>330</Words>
  <Characters>1881</Characters>
  <Lines>15</Lines>
  <Paragraphs>4</Paragraphs>
  <TotalTime>0</TotalTime>
  <ScaleCrop>false</ScaleCrop>
  <LinksUpToDate>false</LinksUpToDate>
  <CharactersWithSpaces>2207</CharactersWithSpaces>
  <Application>WPS Office_11.2.0.10017_F1E327BC-269C-435d-A152-05C5408002CA</Application>
  <DocSecurity>4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2021-03-10T00:02:00Z</dcterms:created>
  <dc:creator>jason.lee@gggi.org;Jisu Min</dc:creator>
  <cp:lastModifiedBy>tneemia</cp:lastModifiedBy>
  <cp:lastPrinted>2013-10-18T08:32:00Z</cp:lastPrinted>
  <dcterms:modified xsi:type="dcterms:W3CDTF">2021-03-10T01:39:16Z</dcterms:modified>
  <dc:title>STANDARD REQUEST FOR PROPOSALS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KSOProductBuildVer">
    <vt:lpwstr>1033-11.2.0.10017</vt:lpwstr>
  </property>
</Properties>
</file>